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96" w:rsidRPr="007B0996" w:rsidRDefault="007B0996" w:rsidP="007B0996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7B0996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Legfontosabb tudnivalók a lakásbiztosításról és annak elemeiről</w:t>
      </w:r>
    </w:p>
    <w:p w:rsidR="007B0996" w:rsidRPr="007B0996" w:rsidRDefault="007B0996" w:rsidP="007B0996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7B0996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Szerződő, biztosított, kedvezményezett, kockázatviselési hely, alulbiztosítottság, kárbejelentés</w:t>
      </w:r>
    </w:p>
    <w:p w:rsidR="007B0996" w:rsidRPr="007B0996" w:rsidRDefault="007B0996" w:rsidP="007B099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8C8D8F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b/>
          <w:bCs/>
          <w:color w:val="8C8D8F"/>
          <w:sz w:val="21"/>
          <w:szCs w:val="21"/>
          <w:lang w:eastAsia="hu-HU"/>
        </w:rPr>
        <w:t>Szerződő</w:t>
      </w:r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 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A</w:t>
      </w:r>
      <w:proofErr w:type="gram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biztosítási szerződést a vagyontárgy megóvásában érdekeltek köthetik meg, illetve az, aki a szerződést ilyen személy javára köti. Ennek megfelelően a biztosítást magyar állampolgárokon kívül gazdálkodó szervezet, társasház, lakásszövetkezet, illetve külföldi állampolgár is megkötheti.</w:t>
      </w:r>
    </w:p>
    <w:p w:rsidR="007B0996" w:rsidRPr="007B0996" w:rsidRDefault="007B0996" w:rsidP="007B099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8C8D8F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b/>
          <w:bCs/>
          <w:color w:val="8C8D8F"/>
          <w:sz w:val="21"/>
          <w:szCs w:val="21"/>
          <w:lang w:eastAsia="hu-HU"/>
        </w:rPr>
        <w:t>Biztosított</w:t>
      </w:r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 Épületek, építmények vonatkozásában a kötvényen név szerint feltüntetett tulajdonos, lakásbérlő, bérlőtárs, társbérlő, vagy a tulajdonostársak tulajdoni hányaduk arányában, vagy a lakásszövetkezet, a biztosítónál biztosított és a szövetkezet összes lakása darabszámának arányában, illetve az egy kötvényen feltüntetett társasház, ill. lakásszövetkezet. Ingóságok vonatkozásában a kötvényen név szerint feltüntetett személy, azok a közeli hozzátartozók és hozzátartozók, akik a biztosítási esemény bekövetkeztének időpontjában vele állandó jelleggel együtt élnek.</w:t>
      </w:r>
    </w:p>
    <w:p w:rsidR="007B0996" w:rsidRPr="007B0996" w:rsidRDefault="007B0996" w:rsidP="007B099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8C8D8F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b/>
          <w:bCs/>
          <w:color w:val="8C8D8F"/>
          <w:sz w:val="21"/>
          <w:szCs w:val="21"/>
          <w:lang w:eastAsia="hu-HU"/>
        </w:rPr>
        <w:t>Kedvezményezett</w:t>
      </w:r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 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A</w:t>
      </w:r>
      <w:proofErr w:type="gram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biztosított jogosult a szerződésből eredő szolgáltatásokra kedvezményezettet megjelölni. Jellemzően a banki hitellel 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finanszírozott</w:t>
      </w:r>
      <w:proofErr w:type="gram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lakásépítés vagy vásárlás esetén kell a hitelt nyújtónak a kedvezményezettségét záradékolni a biztosítási kötvényben. Az ilyen esetekben a mindenkori hiteltartozás erejéig a bank a kedvezményezett.</w:t>
      </w:r>
    </w:p>
    <w:p w:rsidR="007B0996" w:rsidRPr="007B0996" w:rsidRDefault="007B0996" w:rsidP="007B099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8C8D8F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b/>
          <w:bCs/>
          <w:color w:val="8C8D8F"/>
          <w:sz w:val="21"/>
          <w:szCs w:val="21"/>
          <w:lang w:eastAsia="hu-HU"/>
        </w:rPr>
        <w:t>Kockázatviselési hely</w:t>
      </w:r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 Minden esetben pontos címmel vagy helyrajzi számmal </w:t>
      </w:r>
      <w:proofErr w:type="spell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megjelőlt</w:t>
      </w:r>
      <w:proofErr w:type="spell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telek, lakás esetében továbbá pontos emelet és ajtószámmal meghatározva. Többlakásos épületben lakás esetén a biztosítási fedezet a biztosított tulajdoni hányadának mértékéig kiterjed a közös tulajdonú épületszerkezetek káraira is.</w:t>
      </w:r>
    </w:p>
    <w:p w:rsidR="007B0996" w:rsidRPr="007B0996" w:rsidRDefault="007B0996" w:rsidP="007B099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8C8D8F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b/>
          <w:bCs/>
          <w:color w:val="8C8D8F"/>
          <w:sz w:val="21"/>
          <w:szCs w:val="21"/>
          <w:lang w:eastAsia="hu-HU"/>
        </w:rPr>
        <w:t>Alulbiztosítottság</w:t>
      </w:r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 </w:t>
      </w:r>
      <w:proofErr w:type="spell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Alulbiztosítás</w:t>
      </w:r>
      <w:proofErr w:type="spell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akkor fordul elő, ha a biztosítási összeg alacsonyabb annál az értéknél, amelyből a károsodott vagyontárgyat újra fel lehet építeni, illetőleg pótolni lehet. A biztosítási összegnek fedeznie kell az épület, lakás újraépítési költségét, a lakástartalom </w:t>
      </w:r>
      <w:proofErr w:type="spell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újrabeszerzési</w:t>
      </w:r>
      <w:proofErr w:type="spell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értékét.</w:t>
      </w:r>
    </w:p>
    <w:p w:rsidR="007B0996" w:rsidRPr="007B0996" w:rsidRDefault="007B0996" w:rsidP="007B099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8C8D8F"/>
          <w:sz w:val="21"/>
          <w:szCs w:val="21"/>
          <w:lang w:eastAsia="hu-HU"/>
        </w:rPr>
      </w:pPr>
      <w:proofErr w:type="spellStart"/>
      <w:r w:rsidRPr="007B0996">
        <w:rPr>
          <w:rFonts w:ascii="Arial" w:eastAsia="Times New Roman" w:hAnsi="Arial" w:cs="Arial"/>
          <w:b/>
          <w:bCs/>
          <w:color w:val="8C8D8F"/>
          <w:sz w:val="21"/>
          <w:szCs w:val="21"/>
          <w:lang w:eastAsia="hu-HU"/>
        </w:rPr>
        <w:t>Kárbejentés</w:t>
      </w:r>
      <w:proofErr w:type="spell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 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A</w:t>
      </w:r>
      <w:proofErr w:type="gram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káreseményt annak bekövetkezte után, de legkésőbb a tudomásra jutástól számított 2 munkanapon belül be kell jelenteni a biztosítónak. Ez általában már a biztosítók honlapján keresztül is lehetséges. Amennyiben a fentiek elmulasztása miatt a káresemény lényeges körülményei nem tisztázhatók, a biztosító kötelezettsége nem áll be. A szerződő a bejelentéstől számított 5 napig a helyszínt csak a kárenyhítéshez szükséges mértékig változtathatja meg. Ha a kárszemlét a biztosító 5 napon belül nem végzi el, akkor a biztosított jogosult a helyreállításról intézkedni.</w:t>
      </w:r>
    </w:p>
    <w:p w:rsidR="007B0996" w:rsidRPr="007B0996" w:rsidRDefault="007B0996" w:rsidP="007B0996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7B0996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Hogyan határozzuk meg a biztosítási összeget?</w:t>
      </w:r>
    </w:p>
    <w:p w:rsidR="007B0996" w:rsidRPr="007B0996" w:rsidRDefault="007B0996" w:rsidP="007B099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biztosítási összeg helyes meghatározása rendkívül fontos, mivel a valóságosnál alacsonyabb értéken történő biztosítás következménye az alulbiztosítottság, ami kár esetén aránylagos kártérítéshez vezethet, ami azt jelenti, hogy a biztosító a kárt csak olyan arányban téríti meg, ahogy a tényleges érték aránylik a biztosítási összeghez.</w:t>
      </w:r>
    </w:p>
    <w:p w:rsidR="007B0996" w:rsidRPr="007B0996" w:rsidRDefault="007B0996" w:rsidP="007B099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8C8D8F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b/>
          <w:bCs/>
          <w:color w:val="8C8D8F"/>
          <w:sz w:val="21"/>
          <w:szCs w:val="21"/>
          <w:lang w:eastAsia="hu-HU"/>
        </w:rPr>
        <w:t>Épületérték (biztosítási összeg) meghatározása</w:t>
      </w:r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 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A</w:t>
      </w:r>
      <w:proofErr w:type="gram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biztosítási összeget az ingatlan hasznos alapterületének és az újraépítési négyzetméterárnak a szorzatából kapjuk. Az ingatlan értékének meghatározásánál a forgalmi érték nem irányadó, a biztosítási összegnek az újraépítési költséget kell 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reprezentálnia</w:t>
      </w:r>
      <w:proofErr w:type="gram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. Az alulbiztosítottság elkerülése érdekében a biztosítók épülettípusonként 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min</w:t>
      </w:r>
      <w:r w:rsidR="00202AAB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imális</w:t>
      </w:r>
      <w:proofErr w:type="gramEnd"/>
      <w:r w:rsidR="00202AAB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négyzetméter árat határozn</w:t>
      </w:r>
      <w:bookmarkStart w:id="0" w:name="_GoBack"/>
      <w:bookmarkEnd w:id="0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ak meg.</w:t>
      </w:r>
    </w:p>
    <w:p w:rsidR="007B0996" w:rsidRPr="007B0996" w:rsidRDefault="007B0996" w:rsidP="007B0996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8C8D8F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b/>
          <w:bCs/>
          <w:color w:val="8C8D8F"/>
          <w:sz w:val="21"/>
          <w:szCs w:val="21"/>
          <w:lang w:eastAsia="hu-HU"/>
        </w:rPr>
        <w:lastRenderedPageBreak/>
        <w:t>Ingóságok értékének meghatározása</w:t>
      </w:r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 Az ingóságok értékének meghatározása a biztosított feladata. Fel kell mérni, hogy a biztosított ingatlanban található ingóságok egy totálkár esetén mekkora összegből lennének pótolhatók. Az alulbiztosítottság elkerülése érdekében a biztosítók épülettípusonként 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minimális</w:t>
      </w:r>
      <w:proofErr w:type="gram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négyzetméterárat határoznak meg. Az alulbiztosítottság elkerülése érdekében a biztosítók a négyzetméternek megfelelően épülettípusonként </w:t>
      </w:r>
      <w:proofErr w:type="gramStart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>minimális</w:t>
      </w:r>
      <w:proofErr w:type="gramEnd"/>
      <w:r w:rsidRPr="007B0996">
        <w:rPr>
          <w:rFonts w:ascii="Arial" w:eastAsia="Times New Roman" w:hAnsi="Arial" w:cs="Arial"/>
          <w:color w:val="8C8D8F"/>
          <w:sz w:val="21"/>
          <w:szCs w:val="21"/>
          <w:lang w:eastAsia="hu-HU"/>
        </w:rPr>
        <w:t xml:space="preserve"> ingóság/négyzetméterárat határoznak meg.</w:t>
      </w:r>
    </w:p>
    <w:p w:rsidR="007B0996" w:rsidRPr="007B0996" w:rsidRDefault="007B0996" w:rsidP="007B0996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7B0996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Vagyonvédelmi előírások</w:t>
      </w:r>
    </w:p>
    <w:p w:rsidR="007B0996" w:rsidRPr="007B0996" w:rsidRDefault="007B0996" w:rsidP="007B099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Valamennyi biztosító </w:t>
      </w:r>
      <w:r w:rsidRPr="007B0996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lakásbiztosítási szabályzata</w:t>
      </w:r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(szerződési feltétele) meghatározza azon vagyonvédelmi követelményeket, melyek megléte szükséges a betöréses lopás kockázat vállalásához. Az egyes vagyonvédelmi szintekhez </w:t>
      </w:r>
      <w:proofErr w:type="spellStart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káreseményenkénti</w:t>
      </w:r>
      <w:proofErr w:type="spellEnd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kártérítési </w:t>
      </w:r>
      <w:proofErr w:type="gramStart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limiteket</w:t>
      </w:r>
      <w:proofErr w:type="gramEnd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határoznak meg a biztosítók. Betöréses </w:t>
      </w:r>
      <w:proofErr w:type="gramStart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lopás biztosításra</w:t>
      </w:r>
      <w:proofErr w:type="gramEnd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abban az esetben nyújtanak fedezetet a különböző biztosítók, amennyiben a biztosított ingatlan védelme teljesíti legalább, az un. "</w:t>
      </w:r>
      <w:proofErr w:type="gramStart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minimális</w:t>
      </w:r>
      <w:proofErr w:type="gramEnd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mechanikai védelem" előírásait. Az ilyen alap védelem mellet ugyanakkor a biztosító által vállalt </w:t>
      </w:r>
      <w:proofErr w:type="spellStart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káreseményenkénti</w:t>
      </w:r>
      <w:proofErr w:type="spellEnd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kártérítési </w:t>
      </w:r>
      <w:proofErr w:type="gramStart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limit</w:t>
      </w:r>
      <w:proofErr w:type="gramEnd"/>
      <w:r w:rsidRPr="007B0996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is viszonylag alacsony, átlagosan 2-3 millió forint, de a szórás jelentős, 1,5-8 millió forint is lehet. Külön szintet határoznak meg a biztosítók a kiemelt értékű ingóságok, ékszerek vagyoncsoportra. Természetesen a biztosított értékek nagyságától függően a védelmi követelmények szigorodnak. A biztosítókra általában jellemző, hogy a mechanikai védelmet többre becsülik az elektronikai jelzőrendszereknél, így a védelem kialakításánál érdemes ezekre helyezni a nagyobb hangsúlyt.</w:t>
      </w:r>
    </w:p>
    <w:p w:rsidR="007B0996" w:rsidRPr="007B0996" w:rsidRDefault="007B0996" w:rsidP="007B099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hyperlink r:id="rId5" w:tgtFrame="_blank" w:history="1">
        <w:r w:rsidRPr="007B0996">
          <w:rPr>
            <w:rFonts w:ascii="Arial" w:eastAsia="Times New Roman" w:hAnsi="Arial" w:cs="Arial"/>
            <w:color w:val="8C8D8F"/>
            <w:sz w:val="21"/>
            <w:szCs w:val="21"/>
            <w:u w:val="single"/>
            <w:lang w:eastAsia="hu-HU"/>
          </w:rPr>
          <w:t xml:space="preserve">A pontos vagyonvédelmi előírásokat adott biztosítók lakásbiztosítási feltételei </w:t>
        </w:r>
        <w:proofErr w:type="gramStart"/>
        <w:r w:rsidRPr="007B0996">
          <w:rPr>
            <w:rFonts w:ascii="Arial" w:eastAsia="Times New Roman" w:hAnsi="Arial" w:cs="Arial"/>
            <w:color w:val="8C8D8F"/>
            <w:sz w:val="21"/>
            <w:szCs w:val="21"/>
            <w:u w:val="single"/>
            <w:lang w:eastAsia="hu-HU"/>
          </w:rPr>
          <w:t>tartalmazzák &gt;</w:t>
        </w:r>
        <w:proofErr w:type="gramEnd"/>
        <w:r w:rsidRPr="007B0996">
          <w:rPr>
            <w:rFonts w:ascii="Arial" w:eastAsia="Times New Roman" w:hAnsi="Arial" w:cs="Arial"/>
            <w:color w:val="8C8D8F"/>
            <w:sz w:val="21"/>
            <w:szCs w:val="21"/>
            <w:u w:val="single"/>
            <w:lang w:eastAsia="hu-HU"/>
          </w:rPr>
          <w:t>&gt;</w:t>
        </w:r>
      </w:hyperlink>
    </w:p>
    <w:p w:rsidR="007306A6" w:rsidRDefault="007306A6"/>
    <w:sectPr w:rsidR="0073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612F"/>
    <w:multiLevelType w:val="multilevel"/>
    <w:tmpl w:val="0AD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17568"/>
    <w:multiLevelType w:val="multilevel"/>
    <w:tmpl w:val="ACC0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7F"/>
    <w:rsid w:val="00202AAB"/>
    <w:rsid w:val="0031757F"/>
    <w:rsid w:val="007306A6"/>
    <w:rsid w:val="007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1664"/>
  <w15:chartTrackingRefBased/>
  <w15:docId w15:val="{3546DC07-0E02-4854-8688-E124D1A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B0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B0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09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B099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calcim">
    <w:name w:val="mc_alcim"/>
    <w:basedOn w:val="Bekezdsalapbettpusa"/>
    <w:rsid w:val="007B0996"/>
  </w:style>
  <w:style w:type="paragraph" w:customStyle="1" w:styleId="mctext">
    <w:name w:val="mc_text"/>
    <w:basedOn w:val="Norml"/>
    <w:rsid w:val="007B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B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0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asbiztositas.clb.hu/biztositasi_termektajekozt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2018-07-25T08:01:00Z</dcterms:created>
  <dcterms:modified xsi:type="dcterms:W3CDTF">2018-07-25T08:08:00Z</dcterms:modified>
</cp:coreProperties>
</file>